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17B" w:rsidRDefault="0053117B" w:rsidP="0053117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center"/>
        <w:rPr>
          <w:rFonts w:ascii="Arial" w:hAnsi="Arial" w:cs="Arial"/>
          <w:sz w:val="23"/>
          <w:szCs w:val="23"/>
        </w:rPr>
      </w:pPr>
      <w:r>
        <w:rPr>
          <w:rFonts w:ascii="Arial" w:hAnsi="Arial" w:cs="Arial"/>
          <w:sz w:val="23"/>
          <w:szCs w:val="23"/>
        </w:rPr>
        <w:t>Célébration des scrutins</w:t>
      </w:r>
    </w:p>
    <w:p w:rsidR="0053117B" w:rsidRDefault="0053117B" w:rsidP="0053117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sz w:val="23"/>
          <w:szCs w:val="23"/>
        </w:rPr>
      </w:pPr>
    </w:p>
    <w:p w:rsidR="0053117B" w:rsidRDefault="0053117B" w:rsidP="0053117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sz w:val="23"/>
          <w:szCs w:val="23"/>
        </w:rPr>
      </w:pPr>
    </w:p>
    <w:p w:rsidR="0000076B" w:rsidRDefault="0000076B" w:rsidP="0053117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sz w:val="23"/>
          <w:szCs w:val="23"/>
        </w:rPr>
      </w:pPr>
      <w:r>
        <w:rPr>
          <w:rFonts w:ascii="Arial" w:hAnsi="Arial" w:cs="Arial"/>
          <w:sz w:val="23"/>
          <w:szCs w:val="23"/>
        </w:rPr>
        <w:t>La </w:t>
      </w:r>
      <w:hyperlink r:id="rId5" w:history="1">
        <w:r>
          <w:rPr>
            <w:rStyle w:val="Lienhypertexte"/>
            <w:rFonts w:ascii="Arial" w:hAnsi="Arial" w:cs="Arial"/>
            <w:color w:val="76767C"/>
            <w:sz w:val="23"/>
            <w:szCs w:val="23"/>
            <w:bdr w:val="none" w:sz="0" w:space="0" w:color="auto" w:frame="1"/>
          </w:rPr>
          <w:t>célébration de l’appel décisif</w:t>
        </w:r>
      </w:hyperlink>
      <w:r>
        <w:rPr>
          <w:rFonts w:ascii="Arial" w:hAnsi="Arial" w:cs="Arial"/>
          <w:sz w:val="23"/>
          <w:szCs w:val="23"/>
        </w:rPr>
        <w:t> ouvre, pour les catéchumènes le temps appelé « de la purification et de l’illumination » car cette période est un temps de retraite spirituelle et de conversion durant le temps du </w:t>
      </w:r>
      <w:hyperlink r:id="rId6" w:history="1">
        <w:r>
          <w:rPr>
            <w:rStyle w:val="Lienhypertexte"/>
            <w:rFonts w:ascii="Arial" w:hAnsi="Arial" w:cs="Arial"/>
            <w:color w:val="76767C"/>
            <w:sz w:val="23"/>
            <w:szCs w:val="23"/>
            <w:bdr w:val="none" w:sz="0" w:space="0" w:color="auto" w:frame="1"/>
          </w:rPr>
          <w:t>Carême</w:t>
        </w:r>
      </w:hyperlink>
      <w:r>
        <w:rPr>
          <w:rFonts w:ascii="Arial" w:hAnsi="Arial" w:cs="Arial"/>
          <w:sz w:val="23"/>
          <w:szCs w:val="23"/>
        </w:rPr>
        <w:t>.  Les baptisés sont appelés eux aussi à entrer dans cette même démarche de combat spirituel. C’est un temps de grâce qui est offert ainsi aux uns et aux autres.</w:t>
      </w:r>
    </w:p>
    <w:p w:rsidR="0000076B" w:rsidRDefault="0000076B" w:rsidP="0053117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sz w:val="23"/>
          <w:szCs w:val="23"/>
        </w:rPr>
      </w:pPr>
      <w:r>
        <w:rPr>
          <w:rFonts w:ascii="Arial" w:hAnsi="Arial" w:cs="Arial"/>
          <w:sz w:val="23"/>
          <w:szCs w:val="23"/>
        </w:rPr>
        <w:t>Pendant les 40 jours du </w:t>
      </w:r>
      <w:hyperlink r:id="rId7" w:history="1">
        <w:r>
          <w:rPr>
            <w:rStyle w:val="Lienhypertexte"/>
            <w:rFonts w:ascii="Arial" w:hAnsi="Arial" w:cs="Arial"/>
            <w:color w:val="76767C"/>
            <w:sz w:val="23"/>
            <w:szCs w:val="23"/>
            <w:bdr w:val="none" w:sz="0" w:space="0" w:color="auto" w:frame="1"/>
          </w:rPr>
          <w:t>Carême</w:t>
        </w:r>
      </w:hyperlink>
      <w:r>
        <w:rPr>
          <w:rFonts w:ascii="Arial" w:hAnsi="Arial" w:cs="Arial"/>
          <w:sz w:val="23"/>
          <w:szCs w:val="23"/>
        </w:rPr>
        <w:t>, avec l’ensemble des chrétiens, les catéchumènes vivent comme un « entraînement » (tels des sportifs !), par la prière, l’écoute de la parole de Dieu, la conversion… sans oublier la pratique de l’effort personnel et de la charité envers les autres. Il est demandé aux futurs baptisés, durant ces 40 jours, « d’avoir le désir de parvenir à une connaissance intime du Christ. » (</w:t>
      </w:r>
      <w:hyperlink r:id="rId8" w:history="1">
        <w:r>
          <w:rPr>
            <w:rStyle w:val="Lienhypertexte"/>
            <w:rFonts w:ascii="Arial" w:hAnsi="Arial" w:cs="Arial"/>
            <w:color w:val="76767C"/>
            <w:sz w:val="23"/>
            <w:szCs w:val="23"/>
            <w:bdr w:val="none" w:sz="0" w:space="0" w:color="auto" w:frame="1"/>
          </w:rPr>
          <w:t>Rituel</w:t>
        </w:r>
      </w:hyperlink>
      <w:r>
        <w:rPr>
          <w:rFonts w:ascii="Arial" w:hAnsi="Arial" w:cs="Arial"/>
          <w:sz w:val="23"/>
          <w:szCs w:val="23"/>
        </w:rPr>
        <w:t>, n°149)</w:t>
      </w:r>
    </w:p>
    <w:p w:rsidR="0000076B" w:rsidRDefault="0000076B" w:rsidP="0053117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jc w:val="both"/>
        <w:rPr>
          <w:rFonts w:ascii="Arial" w:hAnsi="Arial" w:cs="Arial"/>
          <w:sz w:val="23"/>
          <w:szCs w:val="23"/>
        </w:rPr>
      </w:pPr>
      <w:r>
        <w:rPr>
          <w:rFonts w:ascii="Arial" w:hAnsi="Arial" w:cs="Arial"/>
          <w:sz w:val="23"/>
          <w:szCs w:val="23"/>
        </w:rPr>
        <w:t>Cette période est aussi l’occasion, pour les catéchumènes, de se repréciser les choix qu’ils ont fait et qu’ils auront toujours à faire, d’affermir leur désir continuel de conversion. L’ex</w:t>
      </w:r>
      <w:bookmarkStart w:id="0" w:name="_GoBack"/>
      <w:bookmarkEnd w:id="0"/>
      <w:r>
        <w:rPr>
          <w:rFonts w:ascii="Arial" w:hAnsi="Arial" w:cs="Arial"/>
          <w:sz w:val="23"/>
          <w:szCs w:val="23"/>
        </w:rPr>
        <w:t>périence montre que ce temps peut être très important pour eux : combats intérieurs, surgissement de doutes et de peurs, pressions de l’entourage, etc.</w:t>
      </w:r>
    </w:p>
    <w:p w:rsidR="0000076B" w:rsidRDefault="0000076B" w:rsidP="0053117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sz w:val="23"/>
          <w:szCs w:val="23"/>
        </w:rPr>
      </w:pPr>
      <w:r>
        <w:rPr>
          <w:rFonts w:ascii="Arial" w:hAnsi="Arial" w:cs="Arial"/>
          <w:sz w:val="23"/>
          <w:szCs w:val="23"/>
        </w:rPr>
        <w:t>Plus que jamais, ils ont besoin d’éprouver la force de Dieu, la prière et le soutien de tous. Le fait que cela se passe pendant le </w:t>
      </w:r>
      <w:hyperlink r:id="rId9" w:history="1">
        <w:r>
          <w:rPr>
            <w:rStyle w:val="Lienhypertexte"/>
            <w:rFonts w:ascii="Arial" w:hAnsi="Arial" w:cs="Arial"/>
            <w:color w:val="76767C"/>
            <w:sz w:val="23"/>
            <w:szCs w:val="23"/>
            <w:bdr w:val="none" w:sz="0" w:space="0" w:color="auto" w:frame="1"/>
          </w:rPr>
          <w:t>Carême</w:t>
        </w:r>
      </w:hyperlink>
      <w:r>
        <w:rPr>
          <w:rFonts w:ascii="Arial" w:hAnsi="Arial" w:cs="Arial"/>
          <w:sz w:val="23"/>
          <w:szCs w:val="23"/>
        </w:rPr>
        <w:t xml:space="preserve"> doit leur permettre de bénéficier du soutien des baptisés, de la communauté chrétienne. Si ce temps est décisif, il doit être « autre ». </w:t>
      </w:r>
    </w:p>
    <w:p w:rsidR="0000076B" w:rsidRDefault="0000076B" w:rsidP="0053117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jc w:val="both"/>
        <w:rPr>
          <w:rFonts w:ascii="Arial" w:hAnsi="Arial" w:cs="Arial"/>
          <w:sz w:val="23"/>
          <w:szCs w:val="23"/>
        </w:rPr>
      </w:pPr>
    </w:p>
    <w:p w:rsidR="0000076B" w:rsidRDefault="0000076B" w:rsidP="0053117B">
      <w:pPr>
        <w:pStyle w:val="NormalWeb"/>
        <w:pBdr>
          <w:top w:val="single" w:sz="4" w:space="1" w:color="auto"/>
          <w:left w:val="single" w:sz="4" w:space="4" w:color="auto"/>
          <w:bottom w:val="single" w:sz="4" w:space="1" w:color="auto"/>
          <w:right w:val="single" w:sz="4" w:space="4" w:color="auto"/>
        </w:pBdr>
        <w:shd w:val="clear" w:color="auto" w:fill="FFFFFF"/>
        <w:spacing w:before="0" w:beforeAutospacing="0" w:after="300" w:afterAutospacing="0"/>
        <w:jc w:val="both"/>
        <w:rPr>
          <w:rFonts w:ascii="Arial" w:hAnsi="Arial" w:cs="Arial"/>
          <w:sz w:val="23"/>
          <w:szCs w:val="23"/>
        </w:rPr>
      </w:pPr>
      <w:r>
        <w:rPr>
          <w:rFonts w:ascii="Arial" w:hAnsi="Arial" w:cs="Arial"/>
          <w:sz w:val="23"/>
          <w:szCs w:val="23"/>
        </w:rPr>
        <w:t>L’Église propose aux catéchumènes un « itinéraire spirituel » jalonné par la célébration des trois scrutins avec leurs exorcismes, afin qu’ils soient fortifiés et qu’ils préparent leur cœur à recevoir les dons du Seigneur. Les scrutins ne sont pas isolés et demandent une progression. Ils doivent s’inscrire dans un parcours spirituel de conversion qui nécessite durée, efforts à poursuivre, et recommencements ! Ce n’est pas un hasard, ni une contrainte s’ils sont au nombre de trois : on ne peut y entrer vraiment en une seule fois ; il faut y revenir, recommencer, entendre à nouveau les appels du Christ.</w:t>
      </w:r>
    </w:p>
    <w:p w:rsidR="0000076B" w:rsidRDefault="0000076B">
      <w:pPr>
        <w:spacing w:after="160" w:line="259" w:lineRule="auto"/>
        <w:rPr>
          <w:rFonts w:ascii="Arial" w:hAnsi="Arial" w:cs="Arial"/>
          <w:b/>
          <w:bCs/>
          <w:sz w:val="40"/>
          <w:szCs w:val="40"/>
        </w:rPr>
      </w:pPr>
      <w:r>
        <w:rPr>
          <w:rFonts w:ascii="Arial" w:hAnsi="Arial" w:cs="Arial"/>
          <w:sz w:val="40"/>
          <w:szCs w:val="40"/>
        </w:rPr>
        <w:br w:type="page"/>
      </w:r>
    </w:p>
    <w:p w:rsidR="0000076B" w:rsidRDefault="0000076B" w:rsidP="0000076B">
      <w:pPr>
        <w:pStyle w:val="Titre3"/>
        <w:shd w:val="clear" w:color="auto" w:fill="FFFFFF"/>
        <w:spacing w:before="0" w:beforeAutospacing="0" w:after="300" w:afterAutospacing="0"/>
        <w:jc w:val="both"/>
        <w:rPr>
          <w:rFonts w:ascii="Arial" w:eastAsiaTheme="minorHAnsi" w:hAnsi="Arial" w:cs="Arial"/>
          <w:sz w:val="40"/>
          <w:szCs w:val="40"/>
        </w:rPr>
      </w:pPr>
      <w:r>
        <w:rPr>
          <w:rFonts w:ascii="Arial" w:eastAsiaTheme="minorHAnsi" w:hAnsi="Arial" w:cs="Arial"/>
          <w:sz w:val="40"/>
          <w:szCs w:val="40"/>
        </w:rPr>
        <w:lastRenderedPageBreak/>
        <w:t>Les trois scrutins</w:t>
      </w:r>
    </w:p>
    <w:p w:rsidR="0000076B" w:rsidRDefault="0000076B" w:rsidP="0000076B">
      <w:pPr>
        <w:pStyle w:val="NormalWeb"/>
        <w:shd w:val="clear" w:color="auto" w:fill="FFFFFF"/>
        <w:spacing w:before="0" w:beforeAutospacing="0" w:after="300" w:afterAutospacing="0"/>
        <w:jc w:val="both"/>
        <w:rPr>
          <w:rFonts w:ascii="Arial" w:hAnsi="Arial" w:cs="Arial"/>
          <w:sz w:val="23"/>
          <w:szCs w:val="23"/>
        </w:rPr>
      </w:pPr>
      <w:r>
        <w:rPr>
          <w:rFonts w:ascii="Arial" w:hAnsi="Arial" w:cs="Arial"/>
          <w:sz w:val="23"/>
          <w:szCs w:val="23"/>
        </w:rPr>
        <w:t>Pendant cette période de l’ultime préparation aux sacrements de Pâques, l’Église offre aux catéchumènes trois rites pénitentiels que l’on appelle « scrutins ». Le mot évoque le discernement entre la lumière et les ténèbres. Les « appelés » sont invités à la conversion, à se tourner vers le Seigneur pour se voir à sa lumière.</w:t>
      </w:r>
    </w:p>
    <w:p w:rsidR="0000076B" w:rsidRDefault="0000076B" w:rsidP="0000076B">
      <w:pPr>
        <w:pStyle w:val="NormalWeb"/>
        <w:shd w:val="clear" w:color="auto" w:fill="FFFFFF"/>
        <w:spacing w:before="0" w:beforeAutospacing="0" w:after="0" w:afterAutospacing="0"/>
        <w:jc w:val="both"/>
        <w:rPr>
          <w:rFonts w:ascii="Arial" w:hAnsi="Arial" w:cs="Arial"/>
          <w:sz w:val="23"/>
          <w:szCs w:val="23"/>
        </w:rPr>
      </w:pPr>
      <w:r>
        <w:rPr>
          <w:rFonts w:ascii="Arial" w:hAnsi="Arial" w:cs="Arial"/>
          <w:sz w:val="23"/>
          <w:szCs w:val="23"/>
        </w:rPr>
        <w:t>célébrer ces trois scrutins, les 3ème, 4ème et 5ème dimanches de </w:t>
      </w:r>
      <w:hyperlink r:id="rId10" w:history="1">
        <w:r>
          <w:rPr>
            <w:rStyle w:val="Lienhypertexte"/>
            <w:rFonts w:ascii="Arial" w:hAnsi="Arial" w:cs="Arial"/>
            <w:color w:val="76767C"/>
            <w:sz w:val="23"/>
            <w:szCs w:val="23"/>
            <w:bdr w:val="none" w:sz="0" w:space="0" w:color="auto" w:frame="1"/>
          </w:rPr>
          <w:t>Carême</w:t>
        </w:r>
      </w:hyperlink>
      <w:r>
        <w:rPr>
          <w:rFonts w:ascii="Arial" w:hAnsi="Arial" w:cs="Arial"/>
          <w:sz w:val="23"/>
          <w:szCs w:val="23"/>
        </w:rPr>
        <w:t>. Pourquoi ? Parce que les baptisés ont à vivre cette dimension de conversion avec les catéchumènes. Et la Présentation du Lectionnaire l’indique clairement :</w:t>
      </w:r>
    </w:p>
    <w:p w:rsidR="0000076B" w:rsidRDefault="0000076B" w:rsidP="0000076B">
      <w:pPr>
        <w:pStyle w:val="NormalWeb"/>
        <w:shd w:val="clear" w:color="auto" w:fill="FFFFFF"/>
        <w:spacing w:before="0" w:beforeAutospacing="0" w:after="0" w:afterAutospacing="0"/>
        <w:jc w:val="both"/>
        <w:rPr>
          <w:rFonts w:ascii="Arial" w:hAnsi="Arial" w:cs="Arial"/>
          <w:sz w:val="23"/>
          <w:szCs w:val="23"/>
        </w:rPr>
      </w:pPr>
      <w:r>
        <w:rPr>
          <w:rFonts w:ascii="Arial" w:hAnsi="Arial" w:cs="Arial"/>
          <w:sz w:val="23"/>
          <w:szCs w:val="23"/>
        </w:rPr>
        <w:t>Ces évangiles évoquent l’un des grands symboles du </w:t>
      </w:r>
      <w:hyperlink r:id="rId11" w:history="1">
        <w:r>
          <w:rPr>
            <w:rStyle w:val="Lienhypertexte"/>
            <w:rFonts w:ascii="Arial" w:hAnsi="Arial" w:cs="Arial"/>
            <w:color w:val="76767C"/>
            <w:sz w:val="23"/>
            <w:szCs w:val="23"/>
            <w:bdr w:val="none" w:sz="0" w:space="0" w:color="auto" w:frame="1"/>
          </w:rPr>
          <w:t>baptême</w:t>
        </w:r>
      </w:hyperlink>
      <w:r>
        <w:rPr>
          <w:rFonts w:ascii="Arial" w:hAnsi="Arial" w:cs="Arial"/>
          <w:sz w:val="23"/>
          <w:szCs w:val="23"/>
        </w:rPr>
        <w:t> chrétien. La célébration des scrutins ne pèse pas sur la </w:t>
      </w:r>
      <w:hyperlink r:id="rId12" w:history="1">
        <w:r>
          <w:rPr>
            <w:rStyle w:val="Lienhypertexte"/>
            <w:rFonts w:ascii="Arial" w:hAnsi="Arial" w:cs="Arial"/>
            <w:color w:val="76767C"/>
            <w:sz w:val="23"/>
            <w:szCs w:val="23"/>
            <w:bdr w:val="none" w:sz="0" w:space="0" w:color="auto" w:frame="1"/>
          </w:rPr>
          <w:t>messe</w:t>
        </w:r>
      </w:hyperlink>
      <w:r>
        <w:rPr>
          <w:rFonts w:ascii="Arial" w:hAnsi="Arial" w:cs="Arial"/>
          <w:sz w:val="23"/>
          <w:szCs w:val="23"/>
        </w:rPr>
        <w:t> dominicale paroissiale : le </w:t>
      </w:r>
      <w:hyperlink r:id="rId13" w:history="1">
        <w:r>
          <w:rPr>
            <w:rStyle w:val="Lienhypertexte"/>
            <w:rFonts w:ascii="Arial" w:hAnsi="Arial" w:cs="Arial"/>
            <w:color w:val="76767C"/>
            <w:sz w:val="23"/>
            <w:szCs w:val="23"/>
            <w:bdr w:val="none" w:sz="0" w:space="0" w:color="auto" w:frame="1"/>
          </w:rPr>
          <w:t>rituel</w:t>
        </w:r>
      </w:hyperlink>
      <w:r>
        <w:rPr>
          <w:rFonts w:ascii="Arial" w:hAnsi="Arial" w:cs="Arial"/>
          <w:sz w:val="23"/>
          <w:szCs w:val="23"/>
        </w:rPr>
        <w:t xml:space="preserve"> l’a prévu bref. Il doit donc garder sa simplicité et sa brièveté, il y gagnera d’ailleurs en qualité et en </w:t>
      </w:r>
      <w:r w:rsidR="0053117B">
        <w:rPr>
          <w:rFonts w:ascii="Arial" w:hAnsi="Arial" w:cs="Arial"/>
          <w:sz w:val="23"/>
          <w:szCs w:val="23"/>
        </w:rPr>
        <w:t xml:space="preserve">force. </w:t>
      </w:r>
    </w:p>
    <w:p w:rsidR="0053117B" w:rsidRDefault="0053117B" w:rsidP="0000076B">
      <w:pPr>
        <w:pStyle w:val="NormalWeb"/>
        <w:shd w:val="clear" w:color="auto" w:fill="FFFFFF"/>
        <w:spacing w:before="0" w:beforeAutospacing="0" w:after="0" w:afterAutospacing="0"/>
        <w:jc w:val="both"/>
        <w:rPr>
          <w:rFonts w:ascii="Arial" w:hAnsi="Arial" w:cs="Arial"/>
          <w:sz w:val="23"/>
          <w:szCs w:val="23"/>
        </w:rPr>
      </w:pPr>
    </w:p>
    <w:p w:rsidR="0000076B" w:rsidRDefault="0000076B" w:rsidP="0000076B">
      <w:pPr>
        <w:pStyle w:val="Titre4"/>
        <w:shd w:val="clear" w:color="auto" w:fill="FFFFFF"/>
        <w:spacing w:before="0" w:beforeAutospacing="0" w:after="0" w:afterAutospacing="0"/>
        <w:jc w:val="both"/>
        <w:rPr>
          <w:rFonts w:ascii="Arial" w:eastAsiaTheme="minorHAnsi" w:hAnsi="Arial" w:cs="Arial"/>
          <w:sz w:val="28"/>
          <w:szCs w:val="28"/>
        </w:rPr>
      </w:pPr>
      <w:r>
        <w:rPr>
          <w:rFonts w:ascii="Arial" w:eastAsiaTheme="minorHAnsi" w:hAnsi="Arial" w:cs="Arial"/>
          <w:sz w:val="28"/>
          <w:szCs w:val="28"/>
        </w:rPr>
        <w:t>Premier </w:t>
      </w:r>
      <w:hyperlink r:id="rId14" w:history="1">
        <w:r>
          <w:rPr>
            <w:rStyle w:val="Lienhypertexte"/>
            <w:rFonts w:ascii="Arial" w:eastAsiaTheme="minorHAnsi" w:hAnsi="Arial" w:cs="Arial"/>
            <w:color w:val="000000"/>
            <w:sz w:val="28"/>
            <w:szCs w:val="28"/>
            <w:bdr w:val="none" w:sz="0" w:space="0" w:color="auto" w:frame="1"/>
          </w:rPr>
          <w:t>scrutin</w:t>
        </w:r>
      </w:hyperlink>
    </w:p>
    <w:p w:rsidR="0000076B" w:rsidRDefault="0000076B" w:rsidP="0000076B">
      <w:pPr>
        <w:pStyle w:val="NormalWeb"/>
        <w:shd w:val="clear" w:color="auto" w:fill="FFFFFF"/>
        <w:spacing w:before="0" w:beforeAutospacing="0" w:after="0" w:afterAutospacing="0"/>
        <w:jc w:val="both"/>
        <w:rPr>
          <w:rFonts w:ascii="Arial" w:hAnsi="Arial" w:cs="Arial"/>
          <w:sz w:val="23"/>
          <w:szCs w:val="23"/>
        </w:rPr>
      </w:pPr>
      <w:r>
        <w:rPr>
          <w:rFonts w:ascii="Arial" w:hAnsi="Arial" w:cs="Arial"/>
          <w:sz w:val="23"/>
          <w:szCs w:val="23"/>
        </w:rPr>
        <w:t>Le troisième dimanche de </w:t>
      </w:r>
      <w:hyperlink r:id="rId15" w:history="1">
        <w:r>
          <w:rPr>
            <w:rStyle w:val="Lienhypertexte"/>
            <w:rFonts w:ascii="Arial" w:hAnsi="Arial" w:cs="Arial"/>
            <w:color w:val="76767C"/>
            <w:sz w:val="23"/>
            <w:szCs w:val="23"/>
            <w:bdr w:val="none" w:sz="0" w:space="0" w:color="auto" w:frame="1"/>
          </w:rPr>
          <w:t>Carême</w:t>
        </w:r>
      </w:hyperlink>
      <w:r>
        <w:rPr>
          <w:rFonts w:ascii="Arial" w:hAnsi="Arial" w:cs="Arial"/>
          <w:sz w:val="23"/>
          <w:szCs w:val="23"/>
        </w:rPr>
        <w:t> est lu l’</w:t>
      </w:r>
      <w:hyperlink r:id="rId16" w:history="1">
        <w:r>
          <w:rPr>
            <w:rStyle w:val="Lienhypertexte"/>
            <w:rFonts w:ascii="Arial" w:hAnsi="Arial" w:cs="Arial"/>
            <w:color w:val="76767C"/>
            <w:sz w:val="23"/>
            <w:szCs w:val="23"/>
            <w:bdr w:val="none" w:sz="0" w:space="0" w:color="auto" w:frame="1"/>
          </w:rPr>
          <w:t>évangile</w:t>
        </w:r>
      </w:hyperlink>
      <w:r>
        <w:rPr>
          <w:rFonts w:ascii="Arial" w:hAnsi="Arial" w:cs="Arial"/>
          <w:sz w:val="23"/>
          <w:szCs w:val="23"/>
        </w:rPr>
        <w:t> de la Samaritaine à qui le Christ donne l’</w:t>
      </w:r>
      <w:hyperlink r:id="rId17" w:history="1">
        <w:r>
          <w:rPr>
            <w:rStyle w:val="Lienhypertexte"/>
            <w:rFonts w:ascii="Arial" w:hAnsi="Arial" w:cs="Arial"/>
            <w:color w:val="76767C"/>
            <w:sz w:val="23"/>
            <w:szCs w:val="23"/>
            <w:bdr w:val="none" w:sz="0" w:space="0" w:color="auto" w:frame="1"/>
          </w:rPr>
          <w:t>eau</w:t>
        </w:r>
      </w:hyperlink>
      <w:r>
        <w:rPr>
          <w:rFonts w:ascii="Arial" w:hAnsi="Arial" w:cs="Arial"/>
          <w:sz w:val="23"/>
          <w:szCs w:val="23"/>
        </w:rPr>
        <w:t> vive. « La soif torture les hommes en ce monde, et ils ne comprennent pas qu’ils se trouvent dans un désert où c’est de Dieu que leur âme a soif. Disons donc, nous : “Mon âme a soif de toi.” Que ce soit le cri de nous tous, car unis au Christ nous ne faisons plus qu’une seule âme. Puisse notre âme être altérée de Dieu. Les yeux fixés sur la </w:t>
      </w:r>
      <w:hyperlink r:id="rId18" w:history="1">
        <w:r>
          <w:rPr>
            <w:rStyle w:val="Lienhypertexte"/>
            <w:rFonts w:ascii="Arial" w:hAnsi="Arial" w:cs="Arial"/>
            <w:color w:val="76767C"/>
            <w:sz w:val="23"/>
            <w:szCs w:val="23"/>
            <w:bdr w:val="none" w:sz="0" w:space="0" w:color="auto" w:frame="1"/>
          </w:rPr>
          <w:t>résurrection</w:t>
        </w:r>
      </w:hyperlink>
      <w:r>
        <w:rPr>
          <w:rFonts w:ascii="Arial" w:hAnsi="Arial" w:cs="Arial"/>
          <w:sz w:val="23"/>
          <w:szCs w:val="23"/>
        </w:rPr>
        <w:t> du Christ dont Dieu nous donne l’espérance, au milieu de toutes les carences qui nous accablent, monte en nous la soif de la vie incorruptible. Notre chair a soif de Dieu. » (St Augustin)</w:t>
      </w:r>
    </w:p>
    <w:p w:rsidR="0053117B" w:rsidRDefault="0053117B" w:rsidP="0000076B">
      <w:pPr>
        <w:pStyle w:val="NormalWeb"/>
        <w:shd w:val="clear" w:color="auto" w:fill="FFFFFF"/>
        <w:spacing w:before="0" w:beforeAutospacing="0" w:after="0" w:afterAutospacing="0"/>
        <w:jc w:val="both"/>
        <w:rPr>
          <w:rFonts w:ascii="Arial" w:hAnsi="Arial" w:cs="Arial"/>
          <w:sz w:val="23"/>
          <w:szCs w:val="23"/>
        </w:rPr>
      </w:pPr>
    </w:p>
    <w:p w:rsidR="0000076B" w:rsidRDefault="0000076B" w:rsidP="0000076B">
      <w:pPr>
        <w:pStyle w:val="Titre4"/>
        <w:shd w:val="clear" w:color="auto" w:fill="FFFFFF"/>
        <w:spacing w:before="0" w:beforeAutospacing="0" w:after="0" w:afterAutospacing="0"/>
        <w:jc w:val="both"/>
        <w:rPr>
          <w:rFonts w:ascii="Arial" w:eastAsiaTheme="minorHAnsi" w:hAnsi="Arial" w:cs="Arial"/>
          <w:sz w:val="28"/>
          <w:szCs w:val="28"/>
        </w:rPr>
      </w:pPr>
      <w:r>
        <w:rPr>
          <w:rFonts w:ascii="Arial" w:eastAsiaTheme="minorHAnsi" w:hAnsi="Arial" w:cs="Arial"/>
          <w:sz w:val="28"/>
          <w:szCs w:val="28"/>
        </w:rPr>
        <w:t>Deuxième </w:t>
      </w:r>
      <w:hyperlink r:id="rId19" w:history="1">
        <w:r>
          <w:rPr>
            <w:rStyle w:val="Lienhypertexte"/>
            <w:rFonts w:ascii="Arial" w:eastAsiaTheme="minorHAnsi" w:hAnsi="Arial" w:cs="Arial"/>
            <w:color w:val="000000"/>
            <w:sz w:val="28"/>
            <w:szCs w:val="28"/>
            <w:bdr w:val="none" w:sz="0" w:space="0" w:color="auto" w:frame="1"/>
          </w:rPr>
          <w:t>scrutin</w:t>
        </w:r>
      </w:hyperlink>
    </w:p>
    <w:p w:rsidR="0000076B" w:rsidRDefault="0000076B" w:rsidP="0000076B">
      <w:pPr>
        <w:pStyle w:val="NormalWeb"/>
        <w:shd w:val="clear" w:color="auto" w:fill="FFFFFF"/>
        <w:spacing w:before="0" w:beforeAutospacing="0" w:after="0" w:afterAutospacing="0"/>
        <w:jc w:val="both"/>
        <w:rPr>
          <w:rFonts w:ascii="Arial" w:hAnsi="Arial" w:cs="Arial"/>
          <w:sz w:val="23"/>
          <w:szCs w:val="23"/>
        </w:rPr>
      </w:pPr>
      <w:r>
        <w:rPr>
          <w:rFonts w:ascii="Arial" w:hAnsi="Arial" w:cs="Arial"/>
          <w:sz w:val="23"/>
          <w:szCs w:val="23"/>
        </w:rPr>
        <w:t>Le quatrième dimanche de </w:t>
      </w:r>
      <w:hyperlink r:id="rId20" w:history="1">
        <w:r>
          <w:rPr>
            <w:rStyle w:val="Lienhypertexte"/>
            <w:rFonts w:ascii="Arial" w:hAnsi="Arial" w:cs="Arial"/>
            <w:color w:val="76767C"/>
            <w:sz w:val="23"/>
            <w:szCs w:val="23"/>
            <w:bdr w:val="none" w:sz="0" w:space="0" w:color="auto" w:frame="1"/>
          </w:rPr>
          <w:t>Carême</w:t>
        </w:r>
      </w:hyperlink>
      <w:r>
        <w:rPr>
          <w:rFonts w:ascii="Arial" w:hAnsi="Arial" w:cs="Arial"/>
          <w:sz w:val="23"/>
          <w:szCs w:val="23"/>
        </w:rPr>
        <w:t> est lu l’</w:t>
      </w:r>
      <w:hyperlink r:id="rId21" w:history="1">
        <w:r>
          <w:rPr>
            <w:rStyle w:val="Lienhypertexte"/>
            <w:rFonts w:ascii="Arial" w:hAnsi="Arial" w:cs="Arial"/>
            <w:color w:val="76767C"/>
            <w:sz w:val="23"/>
            <w:szCs w:val="23"/>
            <w:bdr w:val="none" w:sz="0" w:space="0" w:color="auto" w:frame="1"/>
          </w:rPr>
          <w:t>évangile</w:t>
        </w:r>
      </w:hyperlink>
      <w:r>
        <w:rPr>
          <w:rFonts w:ascii="Arial" w:hAnsi="Arial" w:cs="Arial"/>
          <w:sz w:val="23"/>
          <w:szCs w:val="23"/>
        </w:rPr>
        <w:t> de l’Aveugle-né guéri et illuminé par le Seigneur. « L’aveugle se lava les yeux à la piscine de Siloé, Siloé qui veut dire envoyé. Autrement dit, il fut baptisé dans le Christ. Si donc Jésus lui ouvrit les yeux en le baptisant en lui, d’un certaine manière on peut dire qu’il fit de lui un catéchumène quand il lui fit une </w:t>
      </w:r>
      <w:hyperlink r:id="rId22" w:history="1">
        <w:r>
          <w:rPr>
            <w:rStyle w:val="Lienhypertexte"/>
            <w:rFonts w:ascii="Arial" w:hAnsi="Arial" w:cs="Arial"/>
            <w:color w:val="76767C"/>
            <w:sz w:val="23"/>
            <w:szCs w:val="23"/>
            <w:bdr w:val="none" w:sz="0" w:space="0" w:color="auto" w:frame="1"/>
          </w:rPr>
          <w:t>onction</w:t>
        </w:r>
      </w:hyperlink>
      <w:r>
        <w:rPr>
          <w:rFonts w:ascii="Arial" w:hAnsi="Arial" w:cs="Arial"/>
          <w:sz w:val="23"/>
          <w:szCs w:val="23"/>
        </w:rPr>
        <w:t> sur les yeux. » (St Augustin)</w:t>
      </w:r>
    </w:p>
    <w:p w:rsidR="0000076B" w:rsidRDefault="0000076B" w:rsidP="0000076B">
      <w:pPr>
        <w:pStyle w:val="NormalWeb"/>
        <w:shd w:val="clear" w:color="auto" w:fill="FFFFFF"/>
        <w:spacing w:before="0" w:beforeAutospacing="0" w:after="0" w:afterAutospacing="0"/>
        <w:jc w:val="both"/>
        <w:rPr>
          <w:rFonts w:ascii="Arial" w:hAnsi="Arial" w:cs="Arial"/>
          <w:sz w:val="23"/>
          <w:szCs w:val="23"/>
        </w:rPr>
      </w:pPr>
      <w:r>
        <w:rPr>
          <w:rFonts w:ascii="Arial" w:hAnsi="Arial" w:cs="Arial"/>
          <w:sz w:val="23"/>
          <w:szCs w:val="23"/>
        </w:rPr>
        <w:t>Deux chants ont été spécialement écrits pour la célébration de ce deuxième </w:t>
      </w:r>
      <w:hyperlink r:id="rId23" w:history="1">
        <w:r>
          <w:rPr>
            <w:rStyle w:val="Lienhypertexte"/>
            <w:rFonts w:ascii="Arial" w:hAnsi="Arial" w:cs="Arial"/>
            <w:color w:val="76767C"/>
            <w:sz w:val="23"/>
            <w:szCs w:val="23"/>
            <w:bdr w:val="none" w:sz="0" w:space="0" w:color="auto" w:frame="1"/>
          </w:rPr>
          <w:t>scrutin</w:t>
        </w:r>
      </w:hyperlink>
      <w:r>
        <w:rPr>
          <w:rFonts w:ascii="Arial" w:hAnsi="Arial" w:cs="Arial"/>
          <w:sz w:val="23"/>
          <w:szCs w:val="23"/>
        </w:rPr>
        <w:t> : « Aveugle de cœur » (G 14-61-1), « Dis-nous comment se sont ouverts tes yeux » (U 14-69-1). Mais on peut chanter aussi : « Ouvre mes yeux, Seigneur » (G 79-1) ou « lumière pour l’homme » (E 61).</w:t>
      </w:r>
    </w:p>
    <w:p w:rsidR="0053117B" w:rsidRDefault="0053117B" w:rsidP="0000076B">
      <w:pPr>
        <w:pStyle w:val="NormalWeb"/>
        <w:shd w:val="clear" w:color="auto" w:fill="FFFFFF"/>
        <w:spacing w:before="0" w:beforeAutospacing="0" w:after="0" w:afterAutospacing="0"/>
        <w:jc w:val="both"/>
        <w:rPr>
          <w:rFonts w:ascii="Arial" w:hAnsi="Arial" w:cs="Arial"/>
          <w:sz w:val="23"/>
          <w:szCs w:val="23"/>
        </w:rPr>
      </w:pPr>
    </w:p>
    <w:p w:rsidR="0000076B" w:rsidRDefault="0000076B" w:rsidP="0000076B">
      <w:pPr>
        <w:pStyle w:val="Titre4"/>
        <w:shd w:val="clear" w:color="auto" w:fill="FFFFFF"/>
        <w:spacing w:before="0" w:beforeAutospacing="0" w:after="0" w:afterAutospacing="0"/>
        <w:jc w:val="both"/>
        <w:rPr>
          <w:rFonts w:ascii="Arial" w:eastAsiaTheme="minorHAnsi" w:hAnsi="Arial" w:cs="Arial"/>
          <w:sz w:val="28"/>
          <w:szCs w:val="28"/>
        </w:rPr>
      </w:pPr>
      <w:r>
        <w:rPr>
          <w:rFonts w:ascii="Arial" w:eastAsiaTheme="minorHAnsi" w:hAnsi="Arial" w:cs="Arial"/>
          <w:sz w:val="28"/>
          <w:szCs w:val="28"/>
        </w:rPr>
        <w:t>Troisième </w:t>
      </w:r>
      <w:hyperlink r:id="rId24" w:history="1">
        <w:r>
          <w:rPr>
            <w:rStyle w:val="Lienhypertexte"/>
            <w:rFonts w:ascii="Arial" w:eastAsiaTheme="minorHAnsi" w:hAnsi="Arial" w:cs="Arial"/>
            <w:color w:val="000000"/>
            <w:sz w:val="28"/>
            <w:szCs w:val="28"/>
            <w:bdr w:val="none" w:sz="0" w:space="0" w:color="auto" w:frame="1"/>
          </w:rPr>
          <w:t>scrutin</w:t>
        </w:r>
      </w:hyperlink>
    </w:p>
    <w:p w:rsidR="0000076B" w:rsidRDefault="0000076B" w:rsidP="0000076B">
      <w:pPr>
        <w:pStyle w:val="NormalWeb"/>
        <w:shd w:val="clear" w:color="auto" w:fill="FFFFFF"/>
        <w:spacing w:before="0" w:beforeAutospacing="0" w:after="0" w:afterAutospacing="0"/>
        <w:jc w:val="both"/>
        <w:rPr>
          <w:rFonts w:ascii="Arial" w:hAnsi="Arial" w:cs="Arial"/>
          <w:sz w:val="23"/>
          <w:szCs w:val="23"/>
        </w:rPr>
      </w:pPr>
      <w:r>
        <w:rPr>
          <w:rFonts w:ascii="Arial" w:hAnsi="Arial" w:cs="Arial"/>
          <w:sz w:val="23"/>
          <w:szCs w:val="23"/>
        </w:rPr>
        <w:t>Le cinquième dimanche est lu l’</w:t>
      </w:r>
      <w:hyperlink r:id="rId25" w:history="1">
        <w:r>
          <w:rPr>
            <w:rStyle w:val="Lienhypertexte"/>
            <w:rFonts w:ascii="Arial" w:hAnsi="Arial" w:cs="Arial"/>
            <w:color w:val="76767C"/>
            <w:sz w:val="23"/>
            <w:szCs w:val="23"/>
            <w:bdr w:val="none" w:sz="0" w:space="0" w:color="auto" w:frame="1"/>
          </w:rPr>
          <w:t>évangile</w:t>
        </w:r>
      </w:hyperlink>
      <w:r>
        <w:rPr>
          <w:rFonts w:ascii="Arial" w:hAnsi="Arial" w:cs="Arial"/>
          <w:sz w:val="23"/>
          <w:szCs w:val="23"/>
        </w:rPr>
        <w:t> de la </w:t>
      </w:r>
      <w:hyperlink r:id="rId26" w:history="1">
        <w:r>
          <w:rPr>
            <w:rStyle w:val="Lienhypertexte"/>
            <w:rFonts w:ascii="Arial" w:hAnsi="Arial" w:cs="Arial"/>
            <w:color w:val="76767C"/>
            <w:sz w:val="23"/>
            <w:szCs w:val="23"/>
            <w:bdr w:val="none" w:sz="0" w:space="0" w:color="auto" w:frame="1"/>
          </w:rPr>
          <w:t>résurrection</w:t>
        </w:r>
      </w:hyperlink>
      <w:r>
        <w:rPr>
          <w:rFonts w:ascii="Arial" w:hAnsi="Arial" w:cs="Arial"/>
          <w:sz w:val="23"/>
          <w:szCs w:val="23"/>
        </w:rPr>
        <w:t> de Lazare à qui le Christ rend la vie. « Écoutez, écoutez ce que dit Jésus : “Je suis la </w:t>
      </w:r>
      <w:hyperlink r:id="rId27" w:history="1">
        <w:r>
          <w:rPr>
            <w:rStyle w:val="Lienhypertexte"/>
            <w:rFonts w:ascii="Arial" w:hAnsi="Arial" w:cs="Arial"/>
            <w:color w:val="76767C"/>
            <w:sz w:val="23"/>
            <w:szCs w:val="23"/>
            <w:bdr w:val="none" w:sz="0" w:space="0" w:color="auto" w:frame="1"/>
          </w:rPr>
          <w:t>résurrection</w:t>
        </w:r>
      </w:hyperlink>
      <w:r>
        <w:rPr>
          <w:rFonts w:ascii="Arial" w:hAnsi="Arial" w:cs="Arial"/>
          <w:sz w:val="23"/>
          <w:szCs w:val="23"/>
        </w:rPr>
        <w:t> et la vie.” Toute l’attente des Juifs était de voir revivre Lazare, ce mort de quatre jours. Écoutons, nous aussi, et ressuscitons avec lui. Il est la </w:t>
      </w:r>
      <w:hyperlink r:id="rId28" w:history="1">
        <w:r>
          <w:rPr>
            <w:rStyle w:val="Lienhypertexte"/>
            <w:rFonts w:ascii="Arial" w:hAnsi="Arial" w:cs="Arial"/>
            <w:color w:val="76767C"/>
            <w:sz w:val="23"/>
            <w:szCs w:val="23"/>
            <w:bdr w:val="none" w:sz="0" w:space="0" w:color="auto" w:frame="1"/>
          </w:rPr>
          <w:t>résurrection</w:t>
        </w:r>
      </w:hyperlink>
      <w:r>
        <w:rPr>
          <w:rFonts w:ascii="Arial" w:hAnsi="Arial" w:cs="Arial"/>
          <w:sz w:val="23"/>
          <w:szCs w:val="23"/>
        </w:rPr>
        <w:t> parce qu’il est la vie. “Celui qui croit en moi, même s’il est mort, vivra” ; même s’il est mort comme Lazare, il vivra ; parce que Dieu n’est pas le Dieu des morts mais des vivants. » (St Augustin)</w:t>
      </w:r>
    </w:p>
    <w:p w:rsidR="0000076B" w:rsidRDefault="0000076B" w:rsidP="0000076B">
      <w:pPr>
        <w:pStyle w:val="NormalWeb"/>
        <w:shd w:val="clear" w:color="auto" w:fill="FFFFFF"/>
        <w:spacing w:before="0" w:beforeAutospacing="0" w:after="0" w:afterAutospacing="0"/>
        <w:jc w:val="both"/>
        <w:rPr>
          <w:rFonts w:ascii="Arial" w:hAnsi="Arial" w:cs="Arial"/>
          <w:sz w:val="23"/>
          <w:szCs w:val="23"/>
        </w:rPr>
      </w:pPr>
      <w:r>
        <w:rPr>
          <w:rFonts w:ascii="Arial" w:hAnsi="Arial" w:cs="Arial"/>
          <w:sz w:val="23"/>
          <w:szCs w:val="23"/>
        </w:rPr>
        <w:t>Deux chants ont été écrits pour la célébration de ce troisième </w:t>
      </w:r>
      <w:hyperlink r:id="rId29" w:history="1">
        <w:r>
          <w:rPr>
            <w:rStyle w:val="Lienhypertexte"/>
            <w:rFonts w:ascii="Arial" w:hAnsi="Arial" w:cs="Arial"/>
            <w:color w:val="76767C"/>
            <w:sz w:val="23"/>
            <w:szCs w:val="23"/>
            <w:bdr w:val="none" w:sz="0" w:space="0" w:color="auto" w:frame="1"/>
          </w:rPr>
          <w:t>scrutin</w:t>
        </w:r>
      </w:hyperlink>
      <w:r>
        <w:rPr>
          <w:rFonts w:ascii="Arial" w:hAnsi="Arial" w:cs="Arial"/>
          <w:sz w:val="23"/>
          <w:szCs w:val="23"/>
        </w:rPr>
        <w:t> : « Seul maître de la vie » (G 14-62-1), « Il a passé la mort » (G 14-63-1). D’autres permettent de prolonger l’</w:t>
      </w:r>
      <w:hyperlink r:id="rId30" w:history="1">
        <w:r>
          <w:rPr>
            <w:rStyle w:val="Lienhypertexte"/>
            <w:rFonts w:ascii="Arial" w:hAnsi="Arial" w:cs="Arial"/>
            <w:color w:val="76767C"/>
            <w:sz w:val="23"/>
            <w:szCs w:val="23"/>
            <w:bdr w:val="none" w:sz="0" w:space="0" w:color="auto" w:frame="1"/>
          </w:rPr>
          <w:t>Évangile</w:t>
        </w:r>
      </w:hyperlink>
      <w:r>
        <w:rPr>
          <w:rFonts w:ascii="Arial" w:hAnsi="Arial" w:cs="Arial"/>
          <w:sz w:val="23"/>
          <w:szCs w:val="23"/>
        </w:rPr>
        <w:t> entendu : « Ne craignez-pas » (G 139) ou « Oui, je me lèverai » (G 48)</w:t>
      </w:r>
    </w:p>
    <w:p w:rsidR="0053117B" w:rsidRDefault="0053117B" w:rsidP="0000076B">
      <w:pPr>
        <w:pStyle w:val="NormalWeb"/>
        <w:shd w:val="clear" w:color="auto" w:fill="FFFFFF"/>
        <w:spacing w:before="0" w:beforeAutospacing="0" w:after="0" w:afterAutospacing="0"/>
        <w:jc w:val="both"/>
        <w:rPr>
          <w:rFonts w:ascii="Arial" w:hAnsi="Arial" w:cs="Arial"/>
          <w:sz w:val="23"/>
          <w:szCs w:val="23"/>
        </w:rPr>
      </w:pPr>
    </w:p>
    <w:p w:rsidR="0053117B" w:rsidRDefault="0053117B" w:rsidP="0000076B">
      <w:pPr>
        <w:pStyle w:val="NormalWeb"/>
        <w:shd w:val="clear" w:color="auto" w:fill="FFFFFF"/>
        <w:spacing w:before="0" w:beforeAutospacing="0" w:after="0" w:afterAutospacing="0"/>
        <w:jc w:val="both"/>
        <w:rPr>
          <w:rFonts w:ascii="Arial" w:hAnsi="Arial" w:cs="Arial"/>
          <w:sz w:val="23"/>
          <w:szCs w:val="23"/>
        </w:rPr>
      </w:pPr>
    </w:p>
    <w:p w:rsidR="0053117B" w:rsidRDefault="0053117B" w:rsidP="0000076B">
      <w:pPr>
        <w:pStyle w:val="NormalWeb"/>
        <w:shd w:val="clear" w:color="auto" w:fill="FFFFFF"/>
        <w:spacing w:before="0" w:beforeAutospacing="0" w:after="0" w:afterAutospacing="0"/>
        <w:jc w:val="both"/>
        <w:rPr>
          <w:rFonts w:ascii="Arial" w:hAnsi="Arial" w:cs="Arial"/>
          <w:sz w:val="23"/>
          <w:szCs w:val="23"/>
        </w:rPr>
      </w:pPr>
    </w:p>
    <w:p w:rsidR="0053117B" w:rsidRDefault="0053117B" w:rsidP="0000076B">
      <w:pPr>
        <w:pStyle w:val="NormalWeb"/>
        <w:shd w:val="clear" w:color="auto" w:fill="FFFFFF"/>
        <w:spacing w:before="0" w:beforeAutospacing="0" w:after="0" w:afterAutospacing="0"/>
        <w:jc w:val="both"/>
        <w:rPr>
          <w:rFonts w:ascii="Arial" w:hAnsi="Arial" w:cs="Arial"/>
          <w:sz w:val="23"/>
          <w:szCs w:val="23"/>
        </w:rPr>
      </w:pPr>
    </w:p>
    <w:p w:rsidR="0053117B" w:rsidRDefault="0053117B" w:rsidP="0000076B">
      <w:pPr>
        <w:pStyle w:val="NormalWeb"/>
        <w:shd w:val="clear" w:color="auto" w:fill="FFFFFF"/>
        <w:spacing w:before="0" w:beforeAutospacing="0" w:after="0" w:afterAutospacing="0"/>
        <w:jc w:val="both"/>
        <w:rPr>
          <w:rFonts w:ascii="Arial" w:hAnsi="Arial" w:cs="Arial"/>
          <w:sz w:val="23"/>
          <w:szCs w:val="23"/>
        </w:rPr>
      </w:pPr>
    </w:p>
    <w:p w:rsidR="0053117B" w:rsidRDefault="0053117B" w:rsidP="0000076B">
      <w:pPr>
        <w:pStyle w:val="NormalWeb"/>
        <w:shd w:val="clear" w:color="auto" w:fill="FFFFFF"/>
        <w:spacing w:before="0" w:beforeAutospacing="0" w:after="0" w:afterAutospacing="0"/>
        <w:jc w:val="both"/>
        <w:rPr>
          <w:rFonts w:ascii="Arial" w:hAnsi="Arial" w:cs="Arial"/>
          <w:sz w:val="23"/>
          <w:szCs w:val="23"/>
        </w:rPr>
      </w:pPr>
    </w:p>
    <w:p w:rsidR="0000076B" w:rsidRDefault="0000076B" w:rsidP="0000076B">
      <w:pPr>
        <w:pStyle w:val="Titre4"/>
        <w:shd w:val="clear" w:color="auto" w:fill="FFFFFF"/>
        <w:spacing w:before="0" w:beforeAutospacing="0" w:after="300" w:afterAutospacing="0"/>
        <w:jc w:val="both"/>
        <w:rPr>
          <w:rFonts w:ascii="Arial" w:eastAsiaTheme="minorHAnsi" w:hAnsi="Arial" w:cs="Arial"/>
          <w:sz w:val="28"/>
          <w:szCs w:val="28"/>
        </w:rPr>
      </w:pPr>
      <w:r>
        <w:rPr>
          <w:rFonts w:ascii="Arial" w:eastAsiaTheme="minorHAnsi" w:hAnsi="Arial" w:cs="Arial"/>
          <w:sz w:val="28"/>
          <w:szCs w:val="28"/>
        </w:rPr>
        <w:lastRenderedPageBreak/>
        <w:t>Célébration des scrutins</w:t>
      </w:r>
    </w:p>
    <w:p w:rsidR="0000076B" w:rsidRDefault="0000076B" w:rsidP="0000076B">
      <w:pPr>
        <w:pStyle w:val="NormalWeb"/>
        <w:shd w:val="clear" w:color="auto" w:fill="FFFFFF"/>
        <w:spacing w:before="0" w:beforeAutospacing="0" w:after="0" w:afterAutospacing="0"/>
        <w:jc w:val="both"/>
        <w:rPr>
          <w:rFonts w:ascii="Arial" w:hAnsi="Arial" w:cs="Arial"/>
          <w:sz w:val="23"/>
          <w:szCs w:val="23"/>
        </w:rPr>
      </w:pPr>
      <w:r>
        <w:rPr>
          <w:rFonts w:ascii="Arial" w:hAnsi="Arial" w:cs="Arial"/>
          <w:sz w:val="23"/>
          <w:szCs w:val="23"/>
        </w:rPr>
        <w:t>Pourquoi renouveler trois fois le même </w:t>
      </w:r>
      <w:hyperlink r:id="rId31" w:history="1">
        <w:r>
          <w:rPr>
            <w:rStyle w:val="Lienhypertexte"/>
            <w:rFonts w:ascii="Arial" w:hAnsi="Arial" w:cs="Arial"/>
            <w:color w:val="76767C"/>
            <w:sz w:val="23"/>
            <w:szCs w:val="23"/>
            <w:bdr w:val="none" w:sz="0" w:space="0" w:color="auto" w:frame="1"/>
          </w:rPr>
          <w:t>rite</w:t>
        </w:r>
      </w:hyperlink>
      <w:r>
        <w:rPr>
          <w:rFonts w:ascii="Arial" w:hAnsi="Arial" w:cs="Arial"/>
          <w:sz w:val="23"/>
          <w:szCs w:val="23"/>
        </w:rPr>
        <w:t> ? La réponse est généralement claire quand on interroge les catéchumènes. À l’approche du </w:t>
      </w:r>
      <w:hyperlink r:id="rId32" w:history="1">
        <w:r>
          <w:rPr>
            <w:rStyle w:val="Lienhypertexte"/>
            <w:rFonts w:ascii="Arial" w:hAnsi="Arial" w:cs="Arial"/>
            <w:color w:val="76767C"/>
            <w:sz w:val="23"/>
            <w:szCs w:val="23"/>
            <w:bdr w:val="none" w:sz="0" w:space="0" w:color="auto" w:frame="1"/>
          </w:rPr>
          <w:t>baptême</w:t>
        </w:r>
      </w:hyperlink>
      <w:r>
        <w:rPr>
          <w:rFonts w:ascii="Arial" w:hAnsi="Arial" w:cs="Arial"/>
          <w:sz w:val="23"/>
          <w:szCs w:val="23"/>
        </w:rPr>
        <w:t>, ils ressentent leur état de pécheur, ce qui dans leur vie fait obstacle à l’amour de Dieu et ils sont heureux que cette célébration répétée les aide à se tourner vers le Seigneur de miséricorde. Quant au </w:t>
      </w:r>
      <w:hyperlink r:id="rId33" w:history="1">
        <w:r>
          <w:rPr>
            <w:rStyle w:val="Lienhypertexte"/>
            <w:rFonts w:ascii="Arial" w:hAnsi="Arial" w:cs="Arial"/>
            <w:color w:val="76767C"/>
            <w:sz w:val="23"/>
            <w:szCs w:val="23"/>
            <w:bdr w:val="none" w:sz="0" w:space="0" w:color="auto" w:frame="1"/>
          </w:rPr>
          <w:t>rituel</w:t>
        </w:r>
      </w:hyperlink>
      <w:r>
        <w:rPr>
          <w:rFonts w:ascii="Arial" w:hAnsi="Arial" w:cs="Arial"/>
          <w:sz w:val="23"/>
          <w:szCs w:val="23"/>
        </w:rPr>
        <w:t>, il donne ainsi le sens des scrutins : « Pour éveiller le désir d’être purifié et racheté par le Christ … d’autre part, ils permettent (aux catéchumènes) d’être instruits peu à peu du mystère du péché et de ses conséquences présentes et futures. Du premier au dernier </w:t>
      </w:r>
      <w:hyperlink r:id="rId34" w:history="1">
        <w:r>
          <w:rPr>
            <w:rStyle w:val="Lienhypertexte"/>
            <w:rFonts w:ascii="Arial" w:hAnsi="Arial" w:cs="Arial"/>
            <w:color w:val="76767C"/>
            <w:sz w:val="23"/>
            <w:szCs w:val="23"/>
            <w:bdr w:val="none" w:sz="0" w:space="0" w:color="auto" w:frame="1"/>
          </w:rPr>
          <w:t>scrutin</w:t>
        </w:r>
      </w:hyperlink>
      <w:r>
        <w:rPr>
          <w:rFonts w:ascii="Arial" w:hAnsi="Arial" w:cs="Arial"/>
          <w:sz w:val="23"/>
          <w:szCs w:val="23"/>
        </w:rPr>
        <w:t>, les futurs baptisés approfondissent leur désir de salut et la découverte de tout ce qui s’y oppose. » (</w:t>
      </w:r>
      <w:hyperlink r:id="rId35" w:history="1">
        <w:r>
          <w:rPr>
            <w:rStyle w:val="Lienhypertexte"/>
            <w:rFonts w:ascii="Arial" w:hAnsi="Arial" w:cs="Arial"/>
            <w:color w:val="76767C"/>
            <w:sz w:val="23"/>
            <w:szCs w:val="23"/>
            <w:bdr w:val="none" w:sz="0" w:space="0" w:color="auto" w:frame="1"/>
          </w:rPr>
          <w:t>Rituel</w:t>
        </w:r>
      </w:hyperlink>
      <w:r>
        <w:rPr>
          <w:rFonts w:ascii="Arial" w:hAnsi="Arial" w:cs="Arial"/>
          <w:sz w:val="23"/>
          <w:szCs w:val="23"/>
        </w:rPr>
        <w:t>, n°151).</w:t>
      </w:r>
    </w:p>
    <w:p w:rsidR="0053117B" w:rsidRDefault="0053117B" w:rsidP="0000076B">
      <w:pPr>
        <w:pStyle w:val="NormalWeb"/>
        <w:shd w:val="clear" w:color="auto" w:fill="FFFFFF"/>
        <w:spacing w:before="0" w:beforeAutospacing="0" w:after="0" w:afterAutospacing="0"/>
        <w:jc w:val="both"/>
        <w:rPr>
          <w:rFonts w:ascii="Arial" w:hAnsi="Arial" w:cs="Arial"/>
          <w:sz w:val="23"/>
          <w:szCs w:val="23"/>
        </w:rPr>
      </w:pPr>
    </w:p>
    <w:p w:rsidR="0000076B" w:rsidRDefault="0000076B" w:rsidP="0000076B">
      <w:pPr>
        <w:pStyle w:val="NormalWeb"/>
        <w:shd w:val="clear" w:color="auto" w:fill="FFFFFF"/>
        <w:spacing w:before="0" w:beforeAutospacing="0" w:after="0" w:afterAutospacing="0"/>
        <w:jc w:val="both"/>
        <w:rPr>
          <w:rFonts w:ascii="Arial" w:hAnsi="Arial" w:cs="Arial"/>
          <w:sz w:val="23"/>
          <w:szCs w:val="23"/>
        </w:rPr>
      </w:pPr>
      <w:r>
        <w:rPr>
          <w:rFonts w:ascii="Arial" w:hAnsi="Arial" w:cs="Arial"/>
          <w:sz w:val="23"/>
          <w:szCs w:val="23"/>
        </w:rPr>
        <w:t>Et encore : « (Les scrutins) ont un double but : faire apparaître dans le cœur de ceux qui sont appelés ce qu’il y a de faible, de malade et de mauvais pour le guérir, et ce qu’il y a de bien, de bon et de saint, pour l’affermir. Ils sont donc faits pour purifier les cœurs et les intelligences, fortifier contre les tentations, convertir les intentions, stimuler les volontés, afin que les catéchumènes s’attachent plus profondément au Christ et poursuivent leur effort pour aimer Dieu. » (</w:t>
      </w:r>
      <w:hyperlink r:id="rId36" w:history="1">
        <w:r>
          <w:rPr>
            <w:rStyle w:val="Lienhypertexte"/>
            <w:rFonts w:ascii="Arial" w:hAnsi="Arial" w:cs="Arial"/>
            <w:color w:val="76767C"/>
            <w:sz w:val="23"/>
            <w:szCs w:val="23"/>
            <w:bdr w:val="none" w:sz="0" w:space="0" w:color="auto" w:frame="1"/>
          </w:rPr>
          <w:t>Rituel</w:t>
        </w:r>
      </w:hyperlink>
      <w:r>
        <w:rPr>
          <w:rFonts w:ascii="Arial" w:hAnsi="Arial" w:cs="Arial"/>
          <w:sz w:val="23"/>
          <w:szCs w:val="23"/>
        </w:rPr>
        <w:t>, n°148) Déjà se dessine là l’enracinement du sacrement de pénitence et de </w:t>
      </w:r>
      <w:hyperlink r:id="rId37" w:history="1">
        <w:r>
          <w:rPr>
            <w:rStyle w:val="Lienhypertexte"/>
            <w:rFonts w:ascii="Arial" w:hAnsi="Arial" w:cs="Arial"/>
            <w:color w:val="76767C"/>
            <w:sz w:val="23"/>
            <w:szCs w:val="23"/>
            <w:bdr w:val="none" w:sz="0" w:space="0" w:color="auto" w:frame="1"/>
          </w:rPr>
          <w:t>réconciliation</w:t>
        </w:r>
      </w:hyperlink>
      <w:r>
        <w:rPr>
          <w:rFonts w:ascii="Arial" w:hAnsi="Arial" w:cs="Arial"/>
          <w:sz w:val="23"/>
          <w:szCs w:val="23"/>
        </w:rPr>
        <w:t>. Ces liturgies en constituent en quelque sorte une initiation.</w:t>
      </w:r>
    </w:p>
    <w:p w:rsidR="0053117B" w:rsidRDefault="0053117B" w:rsidP="0000076B">
      <w:pPr>
        <w:pStyle w:val="NormalWeb"/>
        <w:shd w:val="clear" w:color="auto" w:fill="FFFFFF"/>
        <w:spacing w:before="0" w:beforeAutospacing="0" w:after="0" w:afterAutospacing="0"/>
        <w:jc w:val="both"/>
        <w:rPr>
          <w:rFonts w:ascii="Arial" w:hAnsi="Arial" w:cs="Arial"/>
          <w:sz w:val="23"/>
          <w:szCs w:val="23"/>
        </w:rPr>
      </w:pPr>
    </w:p>
    <w:p w:rsidR="0000076B" w:rsidRDefault="0000076B" w:rsidP="0000076B">
      <w:pPr>
        <w:pStyle w:val="Titre4"/>
        <w:shd w:val="clear" w:color="auto" w:fill="FFFFFF"/>
        <w:spacing w:before="0" w:beforeAutospacing="0" w:after="300" w:afterAutospacing="0"/>
        <w:jc w:val="both"/>
        <w:rPr>
          <w:rFonts w:ascii="Arial" w:eastAsiaTheme="minorHAnsi" w:hAnsi="Arial" w:cs="Arial"/>
          <w:sz w:val="28"/>
          <w:szCs w:val="28"/>
        </w:rPr>
      </w:pPr>
      <w:r>
        <w:rPr>
          <w:rFonts w:ascii="Arial" w:eastAsiaTheme="minorHAnsi" w:hAnsi="Arial" w:cs="Arial"/>
          <w:sz w:val="28"/>
          <w:szCs w:val="28"/>
        </w:rPr>
        <w:t>L’exorcisme</w:t>
      </w:r>
    </w:p>
    <w:p w:rsidR="0000076B" w:rsidRDefault="0000076B" w:rsidP="0000076B">
      <w:pPr>
        <w:pStyle w:val="NormalWeb"/>
        <w:shd w:val="clear" w:color="auto" w:fill="FFFFFF"/>
        <w:spacing w:before="0" w:beforeAutospacing="0" w:after="0" w:afterAutospacing="0"/>
        <w:jc w:val="both"/>
        <w:rPr>
          <w:rFonts w:ascii="Arial" w:hAnsi="Arial" w:cs="Arial"/>
          <w:sz w:val="23"/>
          <w:szCs w:val="23"/>
        </w:rPr>
      </w:pPr>
      <w:r>
        <w:rPr>
          <w:rFonts w:ascii="Arial" w:hAnsi="Arial" w:cs="Arial"/>
          <w:sz w:val="23"/>
          <w:szCs w:val="23"/>
        </w:rPr>
        <w:t>Le mot « exorcisme » provoque quelques répulsions à cause de la réalité qu’il évoque. Pourtant, c’est bien au moyen d’exorcismes que les scrutins sont accomplis (</w:t>
      </w:r>
      <w:hyperlink r:id="rId38" w:history="1">
        <w:r>
          <w:rPr>
            <w:rStyle w:val="Lienhypertexte"/>
            <w:rFonts w:ascii="Arial" w:hAnsi="Arial" w:cs="Arial"/>
            <w:color w:val="76767C"/>
            <w:sz w:val="23"/>
            <w:szCs w:val="23"/>
            <w:bdr w:val="none" w:sz="0" w:space="0" w:color="auto" w:frame="1"/>
          </w:rPr>
          <w:t>Rituel</w:t>
        </w:r>
      </w:hyperlink>
      <w:r>
        <w:rPr>
          <w:rFonts w:ascii="Arial" w:hAnsi="Arial" w:cs="Arial"/>
          <w:sz w:val="23"/>
          <w:szCs w:val="23"/>
        </w:rPr>
        <w:t>, n°148). On retrouve d’ailleurs une prière d’exorcisme également avant le </w:t>
      </w:r>
      <w:hyperlink r:id="rId39" w:history="1">
        <w:r>
          <w:rPr>
            <w:rStyle w:val="Lienhypertexte"/>
            <w:rFonts w:ascii="Arial" w:hAnsi="Arial" w:cs="Arial"/>
            <w:color w:val="76767C"/>
            <w:sz w:val="23"/>
            <w:szCs w:val="23"/>
            <w:bdr w:val="none" w:sz="0" w:space="0" w:color="auto" w:frame="1"/>
          </w:rPr>
          <w:t>baptême</w:t>
        </w:r>
      </w:hyperlink>
      <w:r>
        <w:rPr>
          <w:rFonts w:ascii="Arial" w:hAnsi="Arial" w:cs="Arial"/>
          <w:sz w:val="23"/>
          <w:szCs w:val="23"/>
        </w:rPr>
        <w:t> des petits enfants, généralement suivi de l’imposition de la main.</w:t>
      </w:r>
    </w:p>
    <w:p w:rsidR="0000076B" w:rsidRDefault="0000076B" w:rsidP="0000076B">
      <w:pPr>
        <w:pStyle w:val="NormalWeb"/>
        <w:shd w:val="clear" w:color="auto" w:fill="FFFFFF"/>
        <w:spacing w:before="0" w:beforeAutospacing="0" w:after="0" w:afterAutospacing="0"/>
        <w:jc w:val="both"/>
        <w:rPr>
          <w:rFonts w:ascii="Arial" w:hAnsi="Arial" w:cs="Arial"/>
          <w:sz w:val="23"/>
          <w:szCs w:val="23"/>
        </w:rPr>
      </w:pPr>
      <w:r>
        <w:rPr>
          <w:rFonts w:ascii="Arial" w:hAnsi="Arial" w:cs="Arial"/>
          <w:sz w:val="23"/>
          <w:szCs w:val="23"/>
        </w:rPr>
        <w:t>L’exorcisme n’est pas un </w:t>
      </w:r>
      <w:hyperlink r:id="rId40" w:history="1">
        <w:r>
          <w:rPr>
            <w:rStyle w:val="Lienhypertexte"/>
            <w:rFonts w:ascii="Arial" w:hAnsi="Arial" w:cs="Arial"/>
            <w:color w:val="76767C"/>
            <w:sz w:val="23"/>
            <w:szCs w:val="23"/>
            <w:bdr w:val="none" w:sz="0" w:space="0" w:color="auto" w:frame="1"/>
          </w:rPr>
          <w:t>rite</w:t>
        </w:r>
      </w:hyperlink>
      <w:r>
        <w:rPr>
          <w:rFonts w:ascii="Arial" w:hAnsi="Arial" w:cs="Arial"/>
          <w:sz w:val="23"/>
          <w:szCs w:val="23"/>
        </w:rPr>
        <w:t> d’expulsion. Comme expliqué précédemment</w:t>
      </w:r>
      <w:r>
        <w:rPr>
          <w:rFonts w:ascii="Arial" w:hAnsi="Arial" w:cs="Arial"/>
          <w:sz w:val="17"/>
          <w:szCs w:val="17"/>
          <w:bdr w:val="none" w:sz="0" w:space="0" w:color="auto" w:frame="1"/>
        </w:rPr>
        <w:t>1</w:t>
      </w:r>
      <w:r>
        <w:rPr>
          <w:rFonts w:ascii="Arial" w:hAnsi="Arial" w:cs="Arial"/>
          <w:sz w:val="23"/>
          <w:szCs w:val="23"/>
        </w:rPr>
        <w:t>, les exorcismes sont destinés à délivrer de l’influence du Mauvais, à ouvrir à la grâce du Christ : « instruits du mystère du Christ libérateur du mal et délivrés des suites du péché et de l’influence du diable, ils sont fortifiés dans leur itinéraire spirituel et ils préparent leur cœur à recevoir les dons du Sauveur. » (</w:t>
      </w:r>
      <w:hyperlink r:id="rId41" w:history="1">
        <w:r>
          <w:rPr>
            <w:rStyle w:val="Lienhypertexte"/>
            <w:rFonts w:ascii="Arial" w:hAnsi="Arial" w:cs="Arial"/>
            <w:color w:val="76767C"/>
            <w:sz w:val="23"/>
            <w:szCs w:val="23"/>
            <w:bdr w:val="none" w:sz="0" w:space="0" w:color="auto" w:frame="1"/>
          </w:rPr>
          <w:t>Rituel</w:t>
        </w:r>
      </w:hyperlink>
      <w:r>
        <w:rPr>
          <w:rFonts w:ascii="Arial" w:hAnsi="Arial" w:cs="Arial"/>
          <w:sz w:val="23"/>
          <w:szCs w:val="23"/>
        </w:rPr>
        <w:t>, n°150)</w:t>
      </w:r>
    </w:p>
    <w:p w:rsidR="0000076B" w:rsidRDefault="0000076B" w:rsidP="0000076B">
      <w:pPr>
        <w:pStyle w:val="NormalWeb"/>
        <w:shd w:val="clear" w:color="auto" w:fill="FFFFFF"/>
        <w:spacing w:before="0" w:beforeAutospacing="0" w:after="0" w:afterAutospacing="0"/>
        <w:jc w:val="both"/>
        <w:rPr>
          <w:rFonts w:ascii="Arial" w:hAnsi="Arial" w:cs="Arial"/>
          <w:sz w:val="23"/>
          <w:szCs w:val="23"/>
        </w:rPr>
      </w:pPr>
      <w:r>
        <w:rPr>
          <w:rFonts w:ascii="Arial" w:hAnsi="Arial" w:cs="Arial"/>
          <w:sz w:val="23"/>
          <w:szCs w:val="23"/>
        </w:rPr>
        <w:t>Toutes les prières d’exorcisme prévues par le </w:t>
      </w:r>
      <w:hyperlink r:id="rId42" w:history="1">
        <w:r>
          <w:rPr>
            <w:rStyle w:val="Lienhypertexte"/>
            <w:rFonts w:ascii="Arial" w:hAnsi="Arial" w:cs="Arial"/>
            <w:color w:val="76767C"/>
            <w:sz w:val="23"/>
            <w:szCs w:val="23"/>
            <w:bdr w:val="none" w:sz="0" w:space="0" w:color="auto" w:frame="1"/>
          </w:rPr>
          <w:t>rituel</w:t>
        </w:r>
      </w:hyperlink>
      <w:r>
        <w:rPr>
          <w:rFonts w:ascii="Arial" w:hAnsi="Arial" w:cs="Arial"/>
          <w:sz w:val="23"/>
          <w:szCs w:val="23"/>
        </w:rPr>
        <w:t> sont inspirées des Évangiles des scrutins. Elles s’adressent à Dieu pour lui confier les catéchumènes et demander pour eux la force pour combattre, afin qu’ils soient libérés de la puissance du mal et des ténèbres et qu’à la suite du Christ, ils puissent avancer avec confiance vers le moment de la nouvelle naissance.</w:t>
      </w:r>
    </w:p>
    <w:p w:rsidR="0053117B" w:rsidRDefault="0053117B" w:rsidP="0000076B">
      <w:pPr>
        <w:pStyle w:val="NormalWeb"/>
        <w:shd w:val="clear" w:color="auto" w:fill="FFFFFF"/>
        <w:spacing w:before="0" w:beforeAutospacing="0" w:after="0" w:afterAutospacing="0"/>
        <w:jc w:val="both"/>
        <w:rPr>
          <w:rFonts w:ascii="Arial" w:hAnsi="Arial" w:cs="Arial"/>
          <w:sz w:val="23"/>
          <w:szCs w:val="23"/>
        </w:rPr>
      </w:pPr>
    </w:p>
    <w:p w:rsidR="0053117B" w:rsidRDefault="0053117B" w:rsidP="0000076B">
      <w:pPr>
        <w:pStyle w:val="NormalWeb"/>
        <w:shd w:val="clear" w:color="auto" w:fill="FFFFFF"/>
        <w:spacing w:before="0" w:beforeAutospacing="0" w:after="0" w:afterAutospacing="0"/>
        <w:jc w:val="both"/>
        <w:rPr>
          <w:rFonts w:ascii="Arial" w:hAnsi="Arial" w:cs="Arial"/>
          <w:sz w:val="23"/>
          <w:szCs w:val="23"/>
        </w:rPr>
      </w:pPr>
    </w:p>
    <w:p w:rsidR="0053117B" w:rsidRDefault="0053117B" w:rsidP="0000076B">
      <w:pPr>
        <w:pStyle w:val="NormalWeb"/>
        <w:shd w:val="clear" w:color="auto" w:fill="FFFFFF"/>
        <w:spacing w:before="0" w:beforeAutospacing="0" w:after="0" w:afterAutospacing="0"/>
        <w:jc w:val="both"/>
        <w:rPr>
          <w:rFonts w:ascii="Arial" w:hAnsi="Arial" w:cs="Arial"/>
          <w:sz w:val="23"/>
          <w:szCs w:val="23"/>
        </w:rPr>
      </w:pPr>
    </w:p>
    <w:p w:rsidR="0053117B" w:rsidRDefault="0053117B" w:rsidP="0000076B">
      <w:pPr>
        <w:pStyle w:val="NormalWeb"/>
        <w:shd w:val="clear" w:color="auto" w:fill="FFFFFF"/>
        <w:spacing w:before="0" w:beforeAutospacing="0" w:after="0" w:afterAutospacing="0"/>
        <w:jc w:val="both"/>
        <w:rPr>
          <w:rFonts w:ascii="Arial" w:hAnsi="Arial" w:cs="Arial"/>
          <w:sz w:val="23"/>
          <w:szCs w:val="23"/>
        </w:rPr>
      </w:pPr>
    </w:p>
    <w:p w:rsidR="0000076B" w:rsidRDefault="0000076B" w:rsidP="0000076B">
      <w:pPr>
        <w:pStyle w:val="Titre4"/>
        <w:shd w:val="clear" w:color="auto" w:fill="FFFFFF"/>
        <w:spacing w:before="0" w:beforeAutospacing="0" w:after="300" w:afterAutospacing="0"/>
        <w:jc w:val="both"/>
        <w:rPr>
          <w:rFonts w:ascii="Arial" w:eastAsiaTheme="minorHAnsi" w:hAnsi="Arial" w:cs="Arial"/>
          <w:sz w:val="28"/>
          <w:szCs w:val="28"/>
        </w:rPr>
      </w:pPr>
      <w:r>
        <w:rPr>
          <w:rFonts w:ascii="Arial" w:eastAsiaTheme="minorHAnsi" w:hAnsi="Arial" w:cs="Arial"/>
          <w:sz w:val="28"/>
          <w:szCs w:val="28"/>
        </w:rPr>
        <w:t>Transmission des traditions</w:t>
      </w:r>
    </w:p>
    <w:p w:rsidR="005E2B90" w:rsidRDefault="005E2B90"/>
    <w:sectPr w:rsidR="005E2B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2D7242"/>
    <w:multiLevelType w:val="multilevel"/>
    <w:tmpl w:val="3976F6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76B"/>
    <w:rsid w:val="0000076B"/>
    <w:rsid w:val="00415A5E"/>
    <w:rsid w:val="0053117B"/>
    <w:rsid w:val="005E2B90"/>
    <w:rsid w:val="00CF32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307EF-ADE5-4826-8431-D4EAA71CD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76B"/>
    <w:pPr>
      <w:spacing w:after="0" w:line="240" w:lineRule="auto"/>
    </w:pPr>
    <w:rPr>
      <w:rFonts w:ascii="Times New Roman" w:hAnsi="Times New Roman" w:cs="Times New Roman"/>
      <w:sz w:val="24"/>
      <w:szCs w:val="24"/>
      <w:lang w:eastAsia="fr-FR"/>
    </w:rPr>
  </w:style>
  <w:style w:type="paragraph" w:styleId="Titre3">
    <w:name w:val="heading 3"/>
    <w:basedOn w:val="Normal"/>
    <w:link w:val="Titre3Car"/>
    <w:uiPriority w:val="9"/>
    <w:semiHidden/>
    <w:unhideWhenUsed/>
    <w:qFormat/>
    <w:rsid w:val="0000076B"/>
    <w:pPr>
      <w:spacing w:before="100" w:beforeAutospacing="1" w:after="100" w:afterAutospacing="1"/>
      <w:outlineLvl w:val="2"/>
    </w:pPr>
    <w:rPr>
      <w:rFonts w:eastAsia="Times New Roman"/>
      <w:b/>
      <w:bCs/>
      <w:sz w:val="27"/>
      <w:szCs w:val="27"/>
    </w:rPr>
  </w:style>
  <w:style w:type="paragraph" w:styleId="Titre4">
    <w:name w:val="heading 4"/>
    <w:basedOn w:val="Normal"/>
    <w:link w:val="Titre4Car"/>
    <w:uiPriority w:val="9"/>
    <w:semiHidden/>
    <w:unhideWhenUsed/>
    <w:qFormat/>
    <w:rsid w:val="0000076B"/>
    <w:pPr>
      <w:spacing w:before="100" w:beforeAutospacing="1" w:after="100" w:afterAutospacing="1"/>
      <w:outlineLvl w:val="3"/>
    </w:pPr>
    <w:rPr>
      <w:rFonts w:eastAsia="Times New Roman"/>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semiHidden/>
    <w:rsid w:val="0000076B"/>
    <w:rPr>
      <w:rFonts w:ascii="Times New Roman" w:eastAsia="Times New Roman" w:hAnsi="Times New Roman" w:cs="Times New Roman"/>
      <w:b/>
      <w:bCs/>
      <w:sz w:val="27"/>
      <w:szCs w:val="27"/>
      <w:lang w:eastAsia="fr-FR"/>
    </w:rPr>
  </w:style>
  <w:style w:type="character" w:customStyle="1" w:styleId="Titre4Car">
    <w:name w:val="Titre 4 Car"/>
    <w:basedOn w:val="Policepardfaut"/>
    <w:link w:val="Titre4"/>
    <w:uiPriority w:val="9"/>
    <w:semiHidden/>
    <w:rsid w:val="0000076B"/>
    <w:rPr>
      <w:rFonts w:ascii="Times New Roman" w:eastAsia="Times New Roman" w:hAnsi="Times New Roman" w:cs="Times New Roman"/>
      <w:b/>
      <w:bCs/>
      <w:sz w:val="24"/>
      <w:szCs w:val="24"/>
      <w:lang w:eastAsia="fr-FR"/>
    </w:rPr>
  </w:style>
  <w:style w:type="character" w:styleId="Lienhypertexte">
    <w:name w:val="Hyperlink"/>
    <w:basedOn w:val="Policepardfaut"/>
    <w:uiPriority w:val="99"/>
    <w:semiHidden/>
    <w:unhideWhenUsed/>
    <w:rsid w:val="0000076B"/>
    <w:rPr>
      <w:color w:val="0000FF"/>
      <w:u w:val="single"/>
    </w:rPr>
  </w:style>
  <w:style w:type="paragraph" w:styleId="NormalWeb">
    <w:name w:val="Normal (Web)"/>
    <w:basedOn w:val="Normal"/>
    <w:uiPriority w:val="99"/>
    <w:semiHidden/>
    <w:unhideWhenUsed/>
    <w:rsid w:val="0000076B"/>
    <w:pPr>
      <w:spacing w:before="100" w:beforeAutospacing="1" w:after="100" w:afterAutospacing="1"/>
    </w:pPr>
  </w:style>
  <w:style w:type="character" w:styleId="Accentuation">
    <w:name w:val="Emphasis"/>
    <w:basedOn w:val="Policepardfaut"/>
    <w:uiPriority w:val="20"/>
    <w:qFormat/>
    <w:rsid w:val="0000076B"/>
    <w:rPr>
      <w:i/>
      <w:iCs/>
    </w:rPr>
  </w:style>
  <w:style w:type="paragraph" w:styleId="Textedebulles">
    <w:name w:val="Balloon Text"/>
    <w:basedOn w:val="Normal"/>
    <w:link w:val="TextedebullesCar"/>
    <w:uiPriority w:val="99"/>
    <w:semiHidden/>
    <w:unhideWhenUsed/>
    <w:rsid w:val="00CF32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CF328A"/>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690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turgie.catholique.fr/lexique/rituel" TargetMode="External"/><Relationship Id="rId18" Type="http://schemas.openxmlformats.org/officeDocument/2006/relationships/hyperlink" Target="https://liturgie.catholique.fr/lexique/resurrection" TargetMode="External"/><Relationship Id="rId26" Type="http://schemas.openxmlformats.org/officeDocument/2006/relationships/hyperlink" Target="https://liturgie.catholique.fr/lexique/resurrection" TargetMode="External"/><Relationship Id="rId39" Type="http://schemas.openxmlformats.org/officeDocument/2006/relationships/hyperlink" Target="https://liturgie.catholique.fr/lexique/bapteme" TargetMode="External"/><Relationship Id="rId21" Type="http://schemas.openxmlformats.org/officeDocument/2006/relationships/hyperlink" Target="https://liturgie.catholique.fr/lexique/evangile" TargetMode="External"/><Relationship Id="rId34" Type="http://schemas.openxmlformats.org/officeDocument/2006/relationships/hyperlink" Target="https://liturgie.catholique.fr/lexique/scrutin" TargetMode="External"/><Relationship Id="rId42" Type="http://schemas.openxmlformats.org/officeDocument/2006/relationships/hyperlink" Target="https://liturgie.catholique.fr/lexique/rituel" TargetMode="External"/><Relationship Id="rId7" Type="http://schemas.openxmlformats.org/officeDocument/2006/relationships/hyperlink" Target="https://liturgie.catholique.fr/lexique/careme" TargetMode="External"/><Relationship Id="rId2" Type="http://schemas.openxmlformats.org/officeDocument/2006/relationships/styles" Target="styles.xml"/><Relationship Id="rId16" Type="http://schemas.openxmlformats.org/officeDocument/2006/relationships/hyperlink" Target="https://liturgie.catholique.fr/lexique/evangile" TargetMode="External"/><Relationship Id="rId20" Type="http://schemas.openxmlformats.org/officeDocument/2006/relationships/hyperlink" Target="https://liturgie.catholique.fr/lexique/careme" TargetMode="External"/><Relationship Id="rId29" Type="http://schemas.openxmlformats.org/officeDocument/2006/relationships/hyperlink" Target="https://liturgie.catholique.fr/lexique/scrutin" TargetMode="External"/><Relationship Id="rId41" Type="http://schemas.openxmlformats.org/officeDocument/2006/relationships/hyperlink" Target="https://liturgie.catholique.fr/lexique/rituel" TargetMode="External"/><Relationship Id="rId1" Type="http://schemas.openxmlformats.org/officeDocument/2006/relationships/numbering" Target="numbering.xml"/><Relationship Id="rId6" Type="http://schemas.openxmlformats.org/officeDocument/2006/relationships/hyperlink" Target="https://liturgie.catholique.fr/lexique/careme" TargetMode="External"/><Relationship Id="rId11" Type="http://schemas.openxmlformats.org/officeDocument/2006/relationships/hyperlink" Target="https://liturgie.catholique.fr/lexique/bapteme" TargetMode="External"/><Relationship Id="rId24" Type="http://schemas.openxmlformats.org/officeDocument/2006/relationships/hyperlink" Target="https://liturgie.catholique.fr/lexique/scrutin" TargetMode="External"/><Relationship Id="rId32" Type="http://schemas.openxmlformats.org/officeDocument/2006/relationships/hyperlink" Target="https://liturgie.catholique.fr/lexique/bapteme" TargetMode="External"/><Relationship Id="rId37" Type="http://schemas.openxmlformats.org/officeDocument/2006/relationships/hyperlink" Target="https://liturgie.catholique.fr/lexique/reconciliation" TargetMode="External"/><Relationship Id="rId40" Type="http://schemas.openxmlformats.org/officeDocument/2006/relationships/hyperlink" Target="https://liturgie.catholique.fr/lexique/rite" TargetMode="External"/><Relationship Id="rId5" Type="http://schemas.openxmlformats.org/officeDocument/2006/relationships/hyperlink" Target="https://liturgie.catholique.fr/accueil/initiation-chretienne/le-bapteme/initiation-chretienne-des-adultes/1454-preparation-ultime-des-catechumenes/" TargetMode="External"/><Relationship Id="rId15" Type="http://schemas.openxmlformats.org/officeDocument/2006/relationships/hyperlink" Target="https://liturgie.catholique.fr/lexique/careme" TargetMode="External"/><Relationship Id="rId23" Type="http://schemas.openxmlformats.org/officeDocument/2006/relationships/hyperlink" Target="https://liturgie.catholique.fr/lexique/scrutin" TargetMode="External"/><Relationship Id="rId28" Type="http://schemas.openxmlformats.org/officeDocument/2006/relationships/hyperlink" Target="https://liturgie.catholique.fr/lexique/resurrection" TargetMode="External"/><Relationship Id="rId36" Type="http://schemas.openxmlformats.org/officeDocument/2006/relationships/hyperlink" Target="https://liturgie.catholique.fr/lexique/rituel" TargetMode="External"/><Relationship Id="rId10" Type="http://schemas.openxmlformats.org/officeDocument/2006/relationships/hyperlink" Target="https://liturgie.catholique.fr/lexique/careme" TargetMode="External"/><Relationship Id="rId19" Type="http://schemas.openxmlformats.org/officeDocument/2006/relationships/hyperlink" Target="https://liturgie.catholique.fr/lexique/scrutin" TargetMode="External"/><Relationship Id="rId31" Type="http://schemas.openxmlformats.org/officeDocument/2006/relationships/hyperlink" Target="https://liturgie.catholique.fr/lexique/rite"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turgie.catholique.fr/lexique/careme" TargetMode="External"/><Relationship Id="rId14" Type="http://schemas.openxmlformats.org/officeDocument/2006/relationships/hyperlink" Target="https://liturgie.catholique.fr/lexique/scrutin" TargetMode="External"/><Relationship Id="rId22" Type="http://schemas.openxmlformats.org/officeDocument/2006/relationships/hyperlink" Target="https://liturgie.catholique.fr/lexique/onction" TargetMode="External"/><Relationship Id="rId27" Type="http://schemas.openxmlformats.org/officeDocument/2006/relationships/hyperlink" Target="https://liturgie.catholique.fr/lexique/resurrection" TargetMode="External"/><Relationship Id="rId30" Type="http://schemas.openxmlformats.org/officeDocument/2006/relationships/hyperlink" Target="https://liturgie.catholique.fr/lexique/evangile" TargetMode="External"/><Relationship Id="rId35" Type="http://schemas.openxmlformats.org/officeDocument/2006/relationships/hyperlink" Target="https://liturgie.catholique.fr/lexique/rituel" TargetMode="External"/><Relationship Id="rId43" Type="http://schemas.openxmlformats.org/officeDocument/2006/relationships/fontTable" Target="fontTable.xml"/><Relationship Id="rId8" Type="http://schemas.openxmlformats.org/officeDocument/2006/relationships/hyperlink" Target="https://liturgie.catholique.fr/lexique/rituel" TargetMode="External"/><Relationship Id="rId3" Type="http://schemas.openxmlformats.org/officeDocument/2006/relationships/settings" Target="settings.xml"/><Relationship Id="rId12" Type="http://schemas.openxmlformats.org/officeDocument/2006/relationships/hyperlink" Target="https://liturgie.catholique.fr/lexique/messe" TargetMode="External"/><Relationship Id="rId17" Type="http://schemas.openxmlformats.org/officeDocument/2006/relationships/hyperlink" Target="https://liturgie.catholique.fr/lexique/eau" TargetMode="External"/><Relationship Id="rId25" Type="http://schemas.openxmlformats.org/officeDocument/2006/relationships/hyperlink" Target="https://liturgie.catholique.fr/lexique/evangile" TargetMode="External"/><Relationship Id="rId33" Type="http://schemas.openxmlformats.org/officeDocument/2006/relationships/hyperlink" Target="https://liturgie.catholique.fr/lexique/rituel" TargetMode="External"/><Relationship Id="rId38" Type="http://schemas.openxmlformats.org/officeDocument/2006/relationships/hyperlink" Target="https://liturgie.catholique.fr/lexique/ritue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1562</Words>
  <Characters>8597</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Benoît de Menou</dc:creator>
  <cp:keywords/>
  <dc:description/>
  <cp:lastModifiedBy>Benoît de Menou</cp:lastModifiedBy>
  <cp:revision>2</cp:revision>
  <cp:lastPrinted>2021-03-06T15:02:00Z</cp:lastPrinted>
  <dcterms:created xsi:type="dcterms:W3CDTF">2021-03-09T21:39:00Z</dcterms:created>
  <dcterms:modified xsi:type="dcterms:W3CDTF">2021-03-09T21:39:00Z</dcterms:modified>
</cp:coreProperties>
</file>